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CF03E" w14:textId="253F8A8F" w:rsidR="00304525" w:rsidRPr="009B3013" w:rsidRDefault="00944DCC">
      <w:pPr>
        <w:pStyle w:val="Heading1"/>
        <w:rPr>
          <w:rFonts w:asciiTheme="minorHAnsi" w:hAnsiTheme="minorHAnsi"/>
          <w:b/>
          <w:bCs/>
          <w:sz w:val="22"/>
          <w:szCs w:val="22"/>
        </w:rPr>
      </w:pPr>
      <w:r w:rsidRPr="009B3013">
        <w:rPr>
          <w:rFonts w:asciiTheme="minorHAnsi" w:hAnsiTheme="minorHAnsi"/>
          <w:b/>
          <w:bCs/>
          <w:sz w:val="22"/>
          <w:szCs w:val="22"/>
        </w:rPr>
        <w:t>Template: Letter of Clinical Necessity (Workers' Compensation)</w:t>
      </w:r>
      <w:r w:rsidR="00845D7C" w:rsidRPr="009B3013">
        <w:rPr>
          <w:rFonts w:asciiTheme="minorHAnsi" w:hAnsiTheme="minorHAnsi"/>
          <w:b/>
          <w:bCs/>
          <w:sz w:val="22"/>
          <w:szCs w:val="22"/>
        </w:rPr>
        <w:br/>
      </w:r>
    </w:p>
    <w:p w14:paraId="72193A0F" w14:textId="3C5100F5" w:rsidR="00304525" w:rsidRPr="00845D7C" w:rsidRDefault="00845D7C">
      <w:pPr>
        <w:rPr>
          <w:rFonts w:asciiTheme="minorHAnsi" w:hAnsiTheme="minorHAnsi"/>
          <w:i/>
          <w:iCs/>
          <w:sz w:val="22"/>
          <w:szCs w:val="22"/>
        </w:rPr>
      </w:pPr>
      <w:r w:rsidRPr="00845D7C">
        <w:rPr>
          <w:rFonts w:asciiTheme="minorHAnsi" w:hAnsiTheme="minorHAnsi"/>
          <w:i/>
          <w:iCs/>
          <w:sz w:val="22"/>
          <w:szCs w:val="22"/>
          <w:highlight w:val="green"/>
        </w:rPr>
        <w:t>DELETE:</w:t>
      </w:r>
      <w:r w:rsidRPr="00845D7C">
        <w:rPr>
          <w:rFonts w:asciiTheme="minorHAnsi" w:hAnsiTheme="minorHAnsi"/>
          <w:b/>
          <w:bCs/>
          <w:i/>
          <w:iCs/>
          <w:sz w:val="22"/>
          <w:szCs w:val="22"/>
          <w:highlight w:val="green"/>
        </w:rPr>
        <w:t xml:space="preserve"> </w:t>
      </w:r>
      <w:r w:rsidR="00944DCC" w:rsidRPr="00845D7C">
        <w:rPr>
          <w:rFonts w:asciiTheme="minorHAnsi" w:hAnsiTheme="minorHAnsi"/>
          <w:b/>
          <w:bCs/>
          <w:i/>
          <w:iCs/>
          <w:sz w:val="22"/>
          <w:szCs w:val="22"/>
          <w:highlight w:val="green"/>
        </w:rPr>
        <w:t xml:space="preserve">Instructions for Referrer: </w:t>
      </w:r>
      <w:r w:rsidR="00944DCC" w:rsidRPr="00845D7C">
        <w:rPr>
          <w:rFonts w:asciiTheme="minorHAnsi" w:hAnsiTheme="minorHAnsi"/>
          <w:i/>
          <w:iCs/>
          <w:sz w:val="22"/>
          <w:szCs w:val="22"/>
          <w:highlight w:val="green"/>
        </w:rPr>
        <w:t>Please copy the text below onto your practice letterhead and adjust the bracketed information to suit your patient’s specific clinical history.</w:t>
      </w:r>
      <w:r w:rsidR="00944DCC" w:rsidRPr="00845D7C">
        <w:rPr>
          <w:rFonts w:asciiTheme="minorHAnsi" w:hAnsiTheme="minorHAnsi"/>
          <w:i/>
          <w:iCs/>
          <w:sz w:val="22"/>
          <w:szCs w:val="22"/>
        </w:rPr>
        <w:t xml:space="preserve"> </w:t>
      </w:r>
    </w:p>
    <w:p w14:paraId="4CD552DA" w14:textId="77777777" w:rsidR="00304525" w:rsidRPr="00845D7C" w:rsidRDefault="00304525">
      <w:pPr>
        <w:rPr>
          <w:rFonts w:asciiTheme="minorHAnsi" w:hAnsiTheme="minorHAnsi"/>
          <w:sz w:val="22"/>
          <w:szCs w:val="22"/>
        </w:rPr>
      </w:pPr>
    </w:p>
    <w:p w14:paraId="2ED84359" w14:textId="61280AC7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To: </w:t>
      </w:r>
      <w:r w:rsidRPr="00845D7C">
        <w:rPr>
          <w:rFonts w:asciiTheme="minorHAnsi" w:hAnsiTheme="minorHAnsi"/>
          <w:sz w:val="22"/>
          <w:szCs w:val="22"/>
          <w:highlight w:val="yellow"/>
        </w:rPr>
        <w:t>[Name of Case Manager]</w:t>
      </w:r>
      <w:r w:rsidRPr="00845D7C">
        <w:rPr>
          <w:rFonts w:asciiTheme="minorHAnsi" w:hAnsiTheme="minorHAnsi"/>
          <w:sz w:val="22"/>
          <w:szCs w:val="22"/>
        </w:rPr>
        <w:t xml:space="preserve"> </w:t>
      </w:r>
      <w:r w:rsidR="00845D7C">
        <w:rPr>
          <w:rFonts w:asciiTheme="minorHAnsi" w:hAnsiTheme="minorHAnsi"/>
          <w:sz w:val="22"/>
          <w:szCs w:val="22"/>
        </w:rPr>
        <w:br/>
      </w:r>
      <w:r w:rsidRPr="00845D7C">
        <w:rPr>
          <w:rFonts w:asciiTheme="minorHAnsi" w:hAnsiTheme="minorHAnsi"/>
          <w:sz w:val="22"/>
          <w:szCs w:val="22"/>
        </w:rPr>
        <w:t xml:space="preserve">Insurer: </w:t>
      </w:r>
      <w:r w:rsidRPr="00845D7C">
        <w:rPr>
          <w:rFonts w:asciiTheme="minorHAnsi" w:hAnsiTheme="minorHAnsi"/>
          <w:sz w:val="22"/>
          <w:szCs w:val="22"/>
          <w:highlight w:val="yellow"/>
        </w:rPr>
        <w:t xml:space="preserve">[e.g., QBE / ICWA / </w:t>
      </w:r>
      <w:proofErr w:type="spellStart"/>
      <w:r w:rsidRPr="00845D7C">
        <w:rPr>
          <w:rFonts w:asciiTheme="minorHAnsi" w:hAnsiTheme="minorHAnsi"/>
          <w:sz w:val="22"/>
          <w:szCs w:val="22"/>
          <w:highlight w:val="yellow"/>
        </w:rPr>
        <w:t>WorkCover</w:t>
      </w:r>
      <w:proofErr w:type="spellEnd"/>
      <w:r w:rsidRPr="00845D7C">
        <w:rPr>
          <w:rFonts w:asciiTheme="minorHAnsi" w:hAnsiTheme="minorHAnsi"/>
          <w:sz w:val="22"/>
          <w:szCs w:val="22"/>
          <w:highlight w:val="yellow"/>
        </w:rPr>
        <w:t>]</w:t>
      </w:r>
      <w:r w:rsidRPr="00845D7C">
        <w:rPr>
          <w:rFonts w:asciiTheme="minorHAnsi" w:hAnsiTheme="minorHAnsi"/>
          <w:sz w:val="22"/>
          <w:szCs w:val="22"/>
        </w:rPr>
        <w:t xml:space="preserve"> </w:t>
      </w:r>
      <w:r w:rsidR="00845D7C">
        <w:rPr>
          <w:rFonts w:asciiTheme="minorHAnsi" w:hAnsiTheme="minorHAnsi"/>
          <w:sz w:val="22"/>
          <w:szCs w:val="22"/>
        </w:rPr>
        <w:br/>
      </w:r>
      <w:r w:rsidRPr="00845D7C">
        <w:rPr>
          <w:rFonts w:asciiTheme="minorHAnsi" w:hAnsiTheme="minorHAnsi"/>
          <w:sz w:val="22"/>
          <w:szCs w:val="22"/>
        </w:rPr>
        <w:t xml:space="preserve">Claim Number: </w:t>
      </w:r>
      <w:r w:rsidRPr="00EC0FBF">
        <w:rPr>
          <w:rFonts w:asciiTheme="minorHAnsi" w:hAnsiTheme="minorHAnsi"/>
          <w:sz w:val="22"/>
          <w:szCs w:val="22"/>
          <w:highlight w:val="yellow"/>
        </w:rPr>
        <w:t>[Insert Claim Number]</w:t>
      </w:r>
    </w:p>
    <w:p w14:paraId="399C721E" w14:textId="77777777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Date: </w:t>
      </w:r>
      <w:r w:rsidRPr="00845D7C">
        <w:rPr>
          <w:rFonts w:asciiTheme="minorHAnsi" w:hAnsiTheme="minorHAnsi"/>
          <w:sz w:val="22"/>
          <w:szCs w:val="22"/>
          <w:highlight w:val="yellow"/>
        </w:rPr>
        <w:t>[Insert Date]</w:t>
      </w:r>
    </w:p>
    <w:p w14:paraId="41D2B8FF" w14:textId="77777777" w:rsidR="00304525" w:rsidRPr="00845D7C" w:rsidRDefault="00304525">
      <w:pPr>
        <w:rPr>
          <w:rFonts w:asciiTheme="minorHAnsi" w:hAnsiTheme="minorHAnsi"/>
          <w:sz w:val="22"/>
          <w:szCs w:val="22"/>
        </w:rPr>
      </w:pPr>
    </w:p>
    <w:p w14:paraId="4C0FEF25" w14:textId="77777777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RE: LETTER OF CLINICAL NECESSITY – </w:t>
      </w:r>
      <w:r w:rsidRPr="00845D7C">
        <w:rPr>
          <w:rFonts w:asciiTheme="minorHAnsi" w:hAnsiTheme="minorHAnsi"/>
          <w:sz w:val="22"/>
          <w:szCs w:val="22"/>
          <w:highlight w:val="yellow"/>
        </w:rPr>
        <w:t>[Patient Full Name]</w:t>
      </w:r>
      <w:r w:rsidRPr="00845D7C">
        <w:rPr>
          <w:rFonts w:asciiTheme="minorHAnsi" w:hAnsiTheme="minorHAnsi"/>
          <w:sz w:val="22"/>
          <w:szCs w:val="22"/>
        </w:rPr>
        <w:t xml:space="preserve"> (DOB: </w:t>
      </w:r>
      <w:r w:rsidRPr="00845D7C">
        <w:rPr>
          <w:rFonts w:asciiTheme="minorHAnsi" w:hAnsiTheme="minorHAnsi"/>
          <w:sz w:val="22"/>
          <w:szCs w:val="22"/>
          <w:highlight w:val="yellow"/>
        </w:rPr>
        <w:t>[Date of Birth])</w:t>
      </w:r>
    </w:p>
    <w:p w14:paraId="1A56367C" w14:textId="77777777" w:rsidR="00304525" w:rsidRPr="00845D7C" w:rsidRDefault="00304525">
      <w:pPr>
        <w:rPr>
          <w:rFonts w:asciiTheme="minorHAnsi" w:hAnsiTheme="minorHAnsi"/>
          <w:sz w:val="22"/>
          <w:szCs w:val="22"/>
        </w:rPr>
      </w:pPr>
    </w:p>
    <w:p w14:paraId="7874F6EE" w14:textId="77777777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Dear </w:t>
      </w:r>
      <w:r w:rsidRPr="00845D7C">
        <w:rPr>
          <w:rFonts w:asciiTheme="minorHAnsi" w:hAnsiTheme="minorHAnsi"/>
          <w:sz w:val="22"/>
          <w:szCs w:val="22"/>
          <w:highlight w:val="yellow"/>
        </w:rPr>
        <w:t>[Case Manager Name],</w:t>
      </w:r>
    </w:p>
    <w:p w14:paraId="3A31F808" w14:textId="77777777" w:rsidR="00304525" w:rsidRPr="00845D7C" w:rsidRDefault="00304525">
      <w:pPr>
        <w:rPr>
          <w:rFonts w:asciiTheme="minorHAnsi" w:hAnsiTheme="minorHAnsi"/>
          <w:sz w:val="22"/>
          <w:szCs w:val="22"/>
        </w:rPr>
      </w:pPr>
    </w:p>
    <w:p w14:paraId="2A051037" w14:textId="7F2789D9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I am writing to provide clinical justification for the referral of my patient, </w:t>
      </w:r>
      <w:r w:rsidRPr="00845D7C">
        <w:rPr>
          <w:rFonts w:asciiTheme="minorHAnsi" w:hAnsiTheme="minorHAnsi"/>
          <w:sz w:val="22"/>
          <w:szCs w:val="22"/>
          <w:highlight w:val="yellow"/>
        </w:rPr>
        <w:t>[Patient Name],</w:t>
      </w:r>
      <w:r w:rsidRPr="00845D7C">
        <w:rPr>
          <w:rFonts w:asciiTheme="minorHAnsi" w:hAnsiTheme="minorHAnsi"/>
          <w:sz w:val="22"/>
          <w:szCs w:val="22"/>
        </w:rPr>
        <w:t xml:space="preserve"> to </w:t>
      </w:r>
      <w:proofErr w:type="spellStart"/>
      <w:r w:rsidRPr="00845D7C">
        <w:rPr>
          <w:rFonts w:asciiTheme="minorHAnsi" w:hAnsiTheme="minorHAnsi"/>
          <w:sz w:val="22"/>
          <w:szCs w:val="22"/>
        </w:rPr>
        <w:t>Empax</w:t>
      </w:r>
      <w:proofErr w:type="spellEnd"/>
      <w:r w:rsidRPr="00845D7C">
        <w:rPr>
          <w:rFonts w:asciiTheme="minorHAnsi" w:hAnsiTheme="minorHAnsi"/>
          <w:sz w:val="22"/>
          <w:szCs w:val="22"/>
        </w:rPr>
        <w:t xml:space="preserve"> Centre for specialist clinical assessment and treatment.</w:t>
      </w:r>
      <w:r w:rsidR="00845D7C">
        <w:rPr>
          <w:rFonts w:asciiTheme="minorHAnsi" w:hAnsiTheme="minorHAnsi"/>
          <w:sz w:val="22"/>
          <w:szCs w:val="22"/>
        </w:rPr>
        <w:br/>
      </w:r>
    </w:p>
    <w:p w14:paraId="1F4BE87F" w14:textId="2AE03B6D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  <w:highlight w:val="yellow"/>
        </w:rPr>
        <w:t>[Patient Name]</w:t>
      </w:r>
      <w:r w:rsidRPr="00845D7C">
        <w:rPr>
          <w:rFonts w:asciiTheme="minorHAnsi" w:hAnsiTheme="minorHAnsi"/>
          <w:sz w:val="22"/>
          <w:szCs w:val="22"/>
        </w:rPr>
        <w:t xml:space="preserve"> has been under my care for </w:t>
      </w:r>
      <w:r w:rsidRPr="00845D7C">
        <w:rPr>
          <w:rFonts w:asciiTheme="minorHAnsi" w:hAnsiTheme="minorHAnsi"/>
          <w:sz w:val="22"/>
          <w:szCs w:val="22"/>
          <w:highlight w:val="yellow"/>
        </w:rPr>
        <w:t>[Duration]</w:t>
      </w:r>
      <w:r w:rsidRPr="00845D7C">
        <w:rPr>
          <w:rFonts w:asciiTheme="minorHAnsi" w:hAnsiTheme="minorHAnsi"/>
          <w:sz w:val="22"/>
          <w:szCs w:val="22"/>
        </w:rPr>
        <w:t xml:space="preserve"> following a workplace injury on </w:t>
      </w:r>
      <w:r w:rsidRPr="00845D7C">
        <w:rPr>
          <w:rFonts w:asciiTheme="minorHAnsi" w:hAnsiTheme="minorHAnsi"/>
          <w:sz w:val="22"/>
          <w:szCs w:val="22"/>
          <w:highlight w:val="yellow"/>
        </w:rPr>
        <w:t>[Date of Injury].</w:t>
      </w:r>
      <w:r w:rsidRPr="00845D7C">
        <w:rPr>
          <w:rFonts w:asciiTheme="minorHAnsi" w:hAnsiTheme="minorHAnsi"/>
          <w:sz w:val="22"/>
          <w:szCs w:val="22"/>
        </w:rPr>
        <w:t xml:space="preserve"> Despite ongoing adherence to standard treatment protocols, their recovery has reached a clinical plateau, and they remain significantly restricted in their capacity for work and daily functioning.</w:t>
      </w:r>
      <w:r w:rsidR="00845D7C">
        <w:rPr>
          <w:rFonts w:asciiTheme="minorHAnsi" w:hAnsiTheme="minorHAnsi"/>
          <w:sz w:val="22"/>
          <w:szCs w:val="22"/>
        </w:rPr>
        <w:br/>
      </w:r>
    </w:p>
    <w:p w14:paraId="3E2313CC" w14:textId="77548628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I am referring </w:t>
      </w:r>
      <w:r w:rsidRPr="00845D7C">
        <w:rPr>
          <w:rFonts w:asciiTheme="minorHAnsi" w:hAnsiTheme="minorHAnsi"/>
          <w:sz w:val="22"/>
          <w:szCs w:val="22"/>
          <w:highlight w:val="yellow"/>
        </w:rPr>
        <w:t>[Patient Name]</w:t>
      </w:r>
      <w:r w:rsidRPr="00845D7C">
        <w:rPr>
          <w:rFonts w:asciiTheme="minorHAnsi" w:hAnsiTheme="minorHAnsi"/>
          <w:sz w:val="22"/>
          <w:szCs w:val="22"/>
        </w:rPr>
        <w:t xml:space="preserve"> for an evaluation of suitability for psychedelic-assisted therapy at </w:t>
      </w:r>
      <w:proofErr w:type="spellStart"/>
      <w:r w:rsidRPr="00845D7C">
        <w:rPr>
          <w:rFonts w:asciiTheme="minorHAnsi" w:hAnsiTheme="minorHAnsi"/>
          <w:sz w:val="22"/>
          <w:szCs w:val="22"/>
        </w:rPr>
        <w:t>Empax</w:t>
      </w:r>
      <w:proofErr w:type="spellEnd"/>
      <w:r w:rsidRPr="00845D7C">
        <w:rPr>
          <w:rFonts w:asciiTheme="minorHAnsi" w:hAnsiTheme="minorHAnsi"/>
          <w:sz w:val="22"/>
          <w:szCs w:val="22"/>
        </w:rPr>
        <w:t xml:space="preserve"> Centre, a specialist-led clinical intervention delivered under the TGA Authorised Prescriber scheme. My rationale for this referral is set out below.</w:t>
      </w:r>
      <w:r w:rsidR="00845D7C">
        <w:rPr>
          <w:rFonts w:asciiTheme="minorHAnsi" w:hAnsiTheme="minorHAnsi"/>
          <w:sz w:val="22"/>
          <w:szCs w:val="22"/>
        </w:rPr>
        <w:br/>
      </w:r>
    </w:p>
    <w:p w14:paraId="62BB53C5" w14:textId="00ABAA44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Please find attached </w:t>
      </w:r>
      <w:proofErr w:type="spellStart"/>
      <w:r w:rsidRPr="00845D7C">
        <w:rPr>
          <w:rFonts w:asciiTheme="minorHAnsi" w:hAnsiTheme="minorHAnsi"/>
          <w:sz w:val="22"/>
          <w:szCs w:val="22"/>
        </w:rPr>
        <w:t>Empax</w:t>
      </w:r>
      <w:proofErr w:type="spellEnd"/>
      <w:r w:rsidRPr="00845D7C">
        <w:rPr>
          <w:rFonts w:asciiTheme="minorHAnsi" w:hAnsiTheme="minorHAnsi"/>
          <w:sz w:val="22"/>
          <w:szCs w:val="22"/>
        </w:rPr>
        <w:t xml:space="preserve"> Centre’s Workers’ Compensation Evidence Pack, which provides the detailed clinical and regulatory framework supporting this referral.</w:t>
      </w:r>
      <w:r w:rsidR="00845D7C">
        <w:rPr>
          <w:rFonts w:asciiTheme="minorHAnsi" w:hAnsiTheme="minorHAnsi"/>
          <w:sz w:val="22"/>
          <w:szCs w:val="22"/>
        </w:rPr>
        <w:br/>
      </w:r>
    </w:p>
    <w:p w14:paraId="4789A487" w14:textId="68BDF929" w:rsidR="00304525" w:rsidRPr="009117DC" w:rsidRDefault="00944DCC">
      <w:pPr>
        <w:pStyle w:val="Heading3"/>
        <w:rPr>
          <w:rFonts w:asciiTheme="minorHAnsi" w:hAnsiTheme="minorHAnsi"/>
          <w:b/>
          <w:bCs/>
          <w:sz w:val="22"/>
          <w:szCs w:val="22"/>
        </w:rPr>
      </w:pPr>
      <w:r w:rsidRPr="009117DC">
        <w:rPr>
          <w:rFonts w:asciiTheme="minorHAnsi" w:hAnsiTheme="minorHAnsi"/>
          <w:b/>
          <w:bCs/>
          <w:sz w:val="22"/>
          <w:szCs w:val="22"/>
        </w:rPr>
        <w:t xml:space="preserve">1. About </w:t>
      </w:r>
      <w:r w:rsidRPr="009117DC">
        <w:rPr>
          <w:rFonts w:asciiTheme="minorHAnsi" w:hAnsiTheme="minorHAnsi"/>
          <w:b/>
          <w:bCs/>
          <w:sz w:val="22"/>
          <w:szCs w:val="22"/>
          <w:highlight w:val="yellow"/>
        </w:rPr>
        <w:t>[Patient Name]</w:t>
      </w:r>
      <w:r w:rsidR="00845D7C" w:rsidRPr="009117DC">
        <w:rPr>
          <w:rFonts w:asciiTheme="minorHAnsi" w:hAnsiTheme="minorHAnsi"/>
          <w:b/>
          <w:bCs/>
          <w:sz w:val="22"/>
          <w:szCs w:val="22"/>
        </w:rPr>
        <w:br/>
      </w:r>
    </w:p>
    <w:p w14:paraId="0679A178" w14:textId="2E10F1CD" w:rsidR="00304525" w:rsidRPr="00845D7C" w:rsidRDefault="00845D7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/>
          <w:iCs/>
          <w:sz w:val="22"/>
          <w:szCs w:val="22"/>
          <w:highlight w:val="green"/>
        </w:rPr>
        <w:t xml:space="preserve">DELETE: </w:t>
      </w:r>
      <w:r w:rsidRPr="00845D7C">
        <w:rPr>
          <w:rFonts w:asciiTheme="minorHAnsi" w:hAnsiTheme="minorHAnsi"/>
          <w:i/>
          <w:iCs/>
          <w:sz w:val="22"/>
          <w:szCs w:val="22"/>
          <w:highlight w:val="green"/>
        </w:rPr>
        <w:t>Please</w:t>
      </w:r>
      <w:r w:rsidR="00944DCC" w:rsidRPr="00845D7C">
        <w:rPr>
          <w:rFonts w:asciiTheme="minorHAnsi" w:hAnsiTheme="minorHAnsi"/>
          <w:i/>
          <w:iCs/>
          <w:sz w:val="22"/>
          <w:szCs w:val="22"/>
          <w:highlight w:val="green"/>
        </w:rPr>
        <w:t xml:space="preserve"> complete </w:t>
      </w:r>
      <w:r w:rsidRPr="00845D7C">
        <w:rPr>
          <w:rFonts w:asciiTheme="minorHAnsi" w:hAnsiTheme="minorHAnsi"/>
          <w:i/>
          <w:iCs/>
          <w:sz w:val="22"/>
          <w:szCs w:val="22"/>
          <w:highlight w:val="green"/>
        </w:rPr>
        <w:t xml:space="preserve">this section </w:t>
      </w:r>
      <w:r w:rsidR="00944DCC" w:rsidRPr="00845D7C">
        <w:rPr>
          <w:rFonts w:asciiTheme="minorHAnsi" w:hAnsiTheme="minorHAnsi"/>
          <w:i/>
          <w:iCs/>
          <w:sz w:val="22"/>
          <w:szCs w:val="22"/>
          <w:highlight w:val="green"/>
        </w:rPr>
        <w:t xml:space="preserve">in your own words. It should give the case manager a sense of who </w:t>
      </w:r>
      <w:r w:rsidR="009117DC">
        <w:rPr>
          <w:rFonts w:asciiTheme="minorHAnsi" w:hAnsiTheme="minorHAnsi"/>
          <w:i/>
          <w:iCs/>
          <w:sz w:val="22"/>
          <w:szCs w:val="22"/>
          <w:highlight w:val="green"/>
        </w:rPr>
        <w:t>the patient</w:t>
      </w:r>
      <w:r w:rsidR="00944DCC" w:rsidRPr="00845D7C">
        <w:rPr>
          <w:rFonts w:asciiTheme="minorHAnsi" w:hAnsiTheme="minorHAnsi"/>
          <w:i/>
          <w:iCs/>
          <w:sz w:val="22"/>
          <w:szCs w:val="22"/>
          <w:highlight w:val="green"/>
        </w:rPr>
        <w:t xml:space="preserve"> is beyond the diagnosis: their role and identity before the injury, and concretely what the injury has taken from their daily life. </w:t>
      </w:r>
      <w:r>
        <w:rPr>
          <w:rFonts w:asciiTheme="minorHAnsi" w:hAnsiTheme="minorHAnsi"/>
          <w:i/>
          <w:iCs/>
          <w:sz w:val="22"/>
          <w:szCs w:val="22"/>
        </w:rPr>
        <w:br/>
      </w:r>
    </w:p>
    <w:p w14:paraId="03342495" w14:textId="58326B6E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Before their workplace injury, </w:t>
      </w:r>
      <w:r w:rsidRPr="00845D7C">
        <w:rPr>
          <w:rFonts w:asciiTheme="minorHAnsi" w:hAnsiTheme="minorHAnsi"/>
          <w:sz w:val="22"/>
          <w:szCs w:val="22"/>
          <w:highlight w:val="yellow"/>
        </w:rPr>
        <w:t>[Patient Name]</w:t>
      </w:r>
      <w:r w:rsidRPr="00845D7C">
        <w:rPr>
          <w:rFonts w:asciiTheme="minorHAnsi" w:hAnsiTheme="minorHAnsi"/>
          <w:sz w:val="22"/>
          <w:szCs w:val="22"/>
        </w:rPr>
        <w:t xml:space="preserve"> worked as a </w:t>
      </w:r>
      <w:r w:rsidRPr="00845D7C">
        <w:rPr>
          <w:rFonts w:asciiTheme="minorHAnsi" w:hAnsiTheme="minorHAnsi"/>
          <w:sz w:val="22"/>
          <w:szCs w:val="22"/>
          <w:highlight w:val="yellow"/>
        </w:rPr>
        <w:t>[occupation/role]</w:t>
      </w:r>
      <w:r w:rsidRPr="00845D7C">
        <w:rPr>
          <w:rFonts w:asciiTheme="minorHAnsi" w:hAnsiTheme="minorHAnsi"/>
          <w:sz w:val="22"/>
          <w:szCs w:val="22"/>
        </w:rPr>
        <w:t xml:space="preserve"> and </w:t>
      </w:r>
      <w:r w:rsidRPr="00845D7C">
        <w:rPr>
          <w:rFonts w:asciiTheme="minorHAnsi" w:hAnsiTheme="minorHAnsi"/>
          <w:sz w:val="22"/>
          <w:szCs w:val="22"/>
          <w:highlight w:val="yellow"/>
        </w:rPr>
        <w:t>[brief description of role in family/community, e.g., “was the primary carer for their two young children” / “was an active member of their local sporting club”].</w:t>
      </w:r>
      <w:r w:rsidR="00845D7C">
        <w:rPr>
          <w:rFonts w:asciiTheme="minorHAnsi" w:hAnsiTheme="minorHAnsi"/>
          <w:sz w:val="22"/>
          <w:szCs w:val="22"/>
        </w:rPr>
        <w:br/>
      </w:r>
    </w:p>
    <w:p w14:paraId="026C0D26" w14:textId="21502D76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Since the injury, </w:t>
      </w:r>
      <w:r w:rsidRPr="00845D7C">
        <w:rPr>
          <w:rFonts w:asciiTheme="minorHAnsi" w:hAnsiTheme="minorHAnsi"/>
          <w:sz w:val="22"/>
          <w:szCs w:val="22"/>
          <w:highlight w:val="yellow"/>
        </w:rPr>
        <w:t>[Patient Name]</w:t>
      </w:r>
      <w:r w:rsidRPr="00845D7C">
        <w:rPr>
          <w:rFonts w:asciiTheme="minorHAnsi" w:hAnsiTheme="minorHAnsi"/>
          <w:sz w:val="22"/>
          <w:szCs w:val="22"/>
        </w:rPr>
        <w:t xml:space="preserve"> has been unable to </w:t>
      </w:r>
      <w:r w:rsidRPr="00845D7C">
        <w:rPr>
          <w:rFonts w:asciiTheme="minorHAnsi" w:hAnsiTheme="minorHAnsi"/>
          <w:sz w:val="22"/>
          <w:szCs w:val="22"/>
          <w:highlight w:val="yellow"/>
        </w:rPr>
        <w:t>[specific functional losses, e.g., “return to any form of paid work”, “manage their household without assistance”, “participate in activities they previously valued”].</w:t>
      </w:r>
      <w:r w:rsidRPr="00845D7C">
        <w:rPr>
          <w:rFonts w:asciiTheme="minorHAnsi" w:hAnsiTheme="minorHAnsi"/>
          <w:sz w:val="22"/>
          <w:szCs w:val="22"/>
        </w:rPr>
        <w:t xml:space="preserve"> They describe </w:t>
      </w:r>
      <w:r w:rsidRPr="00845D7C">
        <w:rPr>
          <w:rFonts w:asciiTheme="minorHAnsi" w:hAnsiTheme="minorHAnsi"/>
          <w:sz w:val="22"/>
          <w:szCs w:val="22"/>
          <w:highlight w:val="yellow"/>
        </w:rPr>
        <w:t>[his/her/their]</w:t>
      </w:r>
      <w:r w:rsidRPr="00845D7C">
        <w:rPr>
          <w:rFonts w:asciiTheme="minorHAnsi" w:hAnsiTheme="minorHAnsi"/>
          <w:sz w:val="22"/>
          <w:szCs w:val="22"/>
        </w:rPr>
        <w:t xml:space="preserve"> current quality of life as </w:t>
      </w:r>
      <w:r w:rsidRPr="00845D7C">
        <w:rPr>
          <w:rFonts w:asciiTheme="minorHAnsi" w:hAnsiTheme="minorHAnsi"/>
          <w:sz w:val="22"/>
          <w:szCs w:val="22"/>
          <w:highlight w:val="yellow"/>
        </w:rPr>
        <w:t>[brief patient-reported impact, e.g., “markedly diminished”, “defined by ongoing hypervigilance and withdrawal from family life”].</w:t>
      </w:r>
      <w:r w:rsidR="00845D7C">
        <w:rPr>
          <w:rFonts w:asciiTheme="minorHAnsi" w:hAnsiTheme="minorHAnsi"/>
          <w:sz w:val="22"/>
          <w:szCs w:val="22"/>
        </w:rPr>
        <w:br/>
      </w:r>
    </w:p>
    <w:p w14:paraId="064113F2" w14:textId="1BECBAD2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i/>
          <w:iCs/>
          <w:sz w:val="22"/>
          <w:szCs w:val="22"/>
          <w:highlight w:val="yellow"/>
        </w:rPr>
        <w:t>[Optional but encouraged: a short direct quote from the patient, in their own words, about what they hope treatment will allow them to do again — e.g., “I just want to be able to pick my daughter up from school without having a panic attack in the car park.” This is one of the most persuasive elements a case manager can read.]</w:t>
      </w:r>
      <w:r w:rsidR="00845D7C">
        <w:rPr>
          <w:rFonts w:asciiTheme="minorHAnsi" w:hAnsiTheme="minorHAnsi"/>
          <w:i/>
          <w:iCs/>
          <w:sz w:val="22"/>
          <w:szCs w:val="22"/>
        </w:rPr>
        <w:br/>
      </w:r>
    </w:p>
    <w:p w14:paraId="09A6EAAD" w14:textId="5B0C8E2F" w:rsidR="00304525" w:rsidRPr="00537FC5" w:rsidRDefault="00944DCC">
      <w:pPr>
        <w:pStyle w:val="Heading3"/>
        <w:rPr>
          <w:rFonts w:asciiTheme="minorHAnsi" w:hAnsiTheme="minorHAnsi"/>
          <w:b/>
          <w:bCs/>
          <w:sz w:val="22"/>
          <w:szCs w:val="22"/>
        </w:rPr>
      </w:pPr>
      <w:r w:rsidRPr="00537FC5">
        <w:rPr>
          <w:rFonts w:asciiTheme="minorHAnsi" w:hAnsiTheme="minorHAnsi"/>
          <w:b/>
          <w:bCs/>
          <w:sz w:val="22"/>
          <w:szCs w:val="22"/>
        </w:rPr>
        <w:lastRenderedPageBreak/>
        <w:t>2. Diagnosis and Clinical History</w:t>
      </w:r>
      <w:r w:rsidR="00845D7C" w:rsidRPr="00537FC5">
        <w:rPr>
          <w:rFonts w:asciiTheme="minorHAnsi" w:hAnsiTheme="minorHAnsi"/>
          <w:b/>
          <w:bCs/>
          <w:sz w:val="22"/>
          <w:szCs w:val="22"/>
        </w:rPr>
        <w:br/>
      </w:r>
    </w:p>
    <w:p w14:paraId="6385B0CC" w14:textId="63C7D18B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>The patient is currently diagnosed with:</w:t>
      </w:r>
      <w:r w:rsidR="00845D7C">
        <w:rPr>
          <w:rFonts w:asciiTheme="minorHAnsi" w:hAnsiTheme="minorHAnsi"/>
          <w:sz w:val="22"/>
          <w:szCs w:val="22"/>
        </w:rPr>
        <w:br/>
      </w:r>
    </w:p>
    <w:p w14:paraId="1ADC6CD9" w14:textId="77777777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Primary: </w:t>
      </w:r>
      <w:r w:rsidRPr="00845D7C">
        <w:rPr>
          <w:rFonts w:asciiTheme="minorHAnsi" w:hAnsiTheme="minorHAnsi"/>
          <w:sz w:val="22"/>
          <w:szCs w:val="22"/>
          <w:highlight w:val="yellow"/>
        </w:rPr>
        <w:t>[e.g., F43.10 Post-Traumatic Stress Disorder]</w:t>
      </w:r>
    </w:p>
    <w:p w14:paraId="15487DD4" w14:textId="469B72E6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Secondary: </w:t>
      </w:r>
      <w:r w:rsidRPr="00845D7C">
        <w:rPr>
          <w:rFonts w:asciiTheme="minorHAnsi" w:hAnsiTheme="minorHAnsi"/>
          <w:sz w:val="22"/>
          <w:szCs w:val="22"/>
          <w:highlight w:val="yellow"/>
        </w:rPr>
        <w:t>[e.g., Treatment-Resistant Depression]</w:t>
      </w:r>
      <w:r w:rsidR="00845D7C">
        <w:rPr>
          <w:rFonts w:asciiTheme="minorHAnsi" w:hAnsiTheme="minorHAnsi"/>
          <w:sz w:val="22"/>
          <w:szCs w:val="22"/>
        </w:rPr>
        <w:br/>
      </w:r>
    </w:p>
    <w:p w14:paraId="190FDBF3" w14:textId="5493C5F5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These conditions have persisted for </w:t>
      </w:r>
      <w:r w:rsidRPr="00845D7C">
        <w:rPr>
          <w:rFonts w:asciiTheme="minorHAnsi" w:hAnsiTheme="minorHAnsi"/>
          <w:sz w:val="22"/>
          <w:szCs w:val="22"/>
          <w:highlight w:val="yellow"/>
        </w:rPr>
        <w:t>[Number] months/years</w:t>
      </w:r>
      <w:r w:rsidRPr="00845D7C">
        <w:rPr>
          <w:rFonts w:asciiTheme="minorHAnsi" w:hAnsiTheme="minorHAnsi"/>
          <w:sz w:val="22"/>
          <w:szCs w:val="22"/>
        </w:rPr>
        <w:t xml:space="preserve"> and are directly related to the accepted workplace claim.</w:t>
      </w:r>
      <w:r w:rsidR="00845D7C">
        <w:rPr>
          <w:rFonts w:asciiTheme="minorHAnsi" w:hAnsiTheme="minorHAnsi"/>
          <w:sz w:val="22"/>
          <w:szCs w:val="22"/>
        </w:rPr>
        <w:br/>
      </w:r>
    </w:p>
    <w:p w14:paraId="1075BA05" w14:textId="77777777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>The patient’s current functional status, as measured by validated clinical instruments, is as follows:</w:t>
      </w:r>
    </w:p>
    <w:p w14:paraId="0F6E02E6" w14:textId="77777777" w:rsidR="00304525" w:rsidRPr="00845D7C" w:rsidRDefault="00944DCC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[e.g., PCL-5 score: </w:t>
      </w:r>
      <w:r w:rsidRPr="00845D7C">
        <w:rPr>
          <w:rFonts w:asciiTheme="minorHAnsi" w:hAnsiTheme="minorHAnsi"/>
          <w:sz w:val="22"/>
          <w:szCs w:val="22"/>
          <w:highlight w:val="yellow"/>
        </w:rPr>
        <w:t>XX</w:t>
      </w:r>
      <w:r w:rsidRPr="00845D7C">
        <w:rPr>
          <w:rFonts w:asciiTheme="minorHAnsi" w:hAnsiTheme="minorHAnsi"/>
          <w:sz w:val="22"/>
          <w:szCs w:val="22"/>
        </w:rPr>
        <w:t>/80, consistent with severe PTSD]</w:t>
      </w:r>
    </w:p>
    <w:p w14:paraId="0A71E40F" w14:textId="77777777" w:rsidR="00304525" w:rsidRPr="00845D7C" w:rsidRDefault="00944DCC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[e.g., DASS-21 Depression subscale: </w:t>
      </w:r>
      <w:r w:rsidRPr="00845D7C">
        <w:rPr>
          <w:rFonts w:asciiTheme="minorHAnsi" w:hAnsiTheme="minorHAnsi"/>
          <w:sz w:val="22"/>
          <w:szCs w:val="22"/>
          <w:highlight w:val="yellow"/>
        </w:rPr>
        <w:t>XX</w:t>
      </w:r>
      <w:r w:rsidRPr="00845D7C">
        <w:rPr>
          <w:rFonts w:asciiTheme="minorHAnsi" w:hAnsiTheme="minorHAnsi"/>
          <w:sz w:val="22"/>
          <w:szCs w:val="22"/>
        </w:rPr>
        <w:t>, in the extremely severe range]</w:t>
      </w:r>
    </w:p>
    <w:p w14:paraId="4E46D742" w14:textId="03BEB7BD" w:rsidR="00304525" w:rsidRPr="00845D7C" w:rsidRDefault="00944DCC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[e.g., K10 score: </w:t>
      </w:r>
      <w:r w:rsidRPr="00845D7C">
        <w:rPr>
          <w:rFonts w:asciiTheme="minorHAnsi" w:hAnsiTheme="minorHAnsi"/>
          <w:sz w:val="22"/>
          <w:szCs w:val="22"/>
          <w:highlight w:val="yellow"/>
        </w:rPr>
        <w:t>XX</w:t>
      </w:r>
      <w:r w:rsidRPr="00845D7C">
        <w:rPr>
          <w:rFonts w:asciiTheme="minorHAnsi" w:hAnsiTheme="minorHAnsi"/>
          <w:sz w:val="22"/>
          <w:szCs w:val="22"/>
        </w:rPr>
        <w:t>, indicating very high psychological distress]</w:t>
      </w:r>
      <w:r w:rsidR="00845D7C">
        <w:rPr>
          <w:rFonts w:asciiTheme="minorHAnsi" w:hAnsiTheme="minorHAnsi"/>
          <w:sz w:val="22"/>
          <w:szCs w:val="22"/>
        </w:rPr>
        <w:br/>
      </w:r>
    </w:p>
    <w:p w14:paraId="0EBCE794" w14:textId="441E3121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Beyond these scores, </w:t>
      </w:r>
      <w:r w:rsidRPr="00845D7C">
        <w:rPr>
          <w:rFonts w:asciiTheme="minorHAnsi" w:hAnsiTheme="minorHAnsi"/>
          <w:sz w:val="22"/>
          <w:szCs w:val="22"/>
          <w:highlight w:val="yellow"/>
        </w:rPr>
        <w:t>[Patient Name]</w:t>
      </w:r>
      <w:r w:rsidRPr="00845D7C">
        <w:rPr>
          <w:rFonts w:asciiTheme="minorHAnsi" w:hAnsiTheme="minorHAnsi"/>
          <w:sz w:val="22"/>
          <w:szCs w:val="22"/>
        </w:rPr>
        <w:t xml:space="preserve">’s symptoms present day-to-day as </w:t>
      </w:r>
      <w:r w:rsidRPr="00845D7C">
        <w:rPr>
          <w:rFonts w:asciiTheme="minorHAnsi" w:hAnsiTheme="minorHAnsi"/>
          <w:sz w:val="22"/>
          <w:szCs w:val="22"/>
          <w:highlight w:val="yellow"/>
        </w:rPr>
        <w:t>[brief functional description tied to the scores above, e.g., “disrupted sleep, avoidance of workplaces or situations resembling the original incident, and difficulty sustaining concentration for tasks lasting more than a few minutes”].</w:t>
      </w:r>
      <w:r w:rsidR="00845D7C">
        <w:rPr>
          <w:rFonts w:asciiTheme="minorHAnsi" w:hAnsiTheme="minorHAnsi"/>
          <w:sz w:val="22"/>
          <w:szCs w:val="22"/>
        </w:rPr>
        <w:br/>
      </w:r>
    </w:p>
    <w:p w14:paraId="000CE220" w14:textId="554F92C2" w:rsidR="00304525" w:rsidRPr="00B23858" w:rsidRDefault="00944DCC">
      <w:pPr>
        <w:pStyle w:val="Heading3"/>
        <w:rPr>
          <w:rFonts w:asciiTheme="minorHAnsi" w:hAnsiTheme="minorHAnsi"/>
          <w:b/>
          <w:bCs/>
          <w:sz w:val="22"/>
          <w:szCs w:val="22"/>
        </w:rPr>
      </w:pPr>
      <w:r w:rsidRPr="00B23858">
        <w:rPr>
          <w:rFonts w:asciiTheme="minorHAnsi" w:hAnsiTheme="minorHAnsi"/>
          <w:b/>
          <w:bCs/>
          <w:sz w:val="22"/>
          <w:szCs w:val="22"/>
        </w:rPr>
        <w:t>3. Evidence of Treatment Resistance</w:t>
      </w:r>
      <w:r w:rsidR="00845D7C" w:rsidRPr="00B23858">
        <w:rPr>
          <w:rFonts w:asciiTheme="minorHAnsi" w:hAnsiTheme="minorHAnsi"/>
          <w:b/>
          <w:bCs/>
          <w:sz w:val="22"/>
          <w:szCs w:val="22"/>
        </w:rPr>
        <w:br/>
      </w:r>
    </w:p>
    <w:p w14:paraId="094B9270" w14:textId="0BB77752" w:rsidR="00304525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>Consistent with the RANZCP Clinical Practice Guidelines for Mood Disorders (2020) and the Phoenix Australia Guidelines for PTSD, I have determined that the standard of care has not yielded a sufficient functional outcome. The patient has tria</w:t>
      </w:r>
      <w:r w:rsidR="00845D7C">
        <w:rPr>
          <w:rFonts w:asciiTheme="minorHAnsi" w:hAnsiTheme="minorHAnsi"/>
          <w:sz w:val="22"/>
          <w:szCs w:val="22"/>
        </w:rPr>
        <w:t>l</w:t>
      </w:r>
      <w:r w:rsidRPr="00845D7C">
        <w:rPr>
          <w:rFonts w:asciiTheme="minorHAnsi" w:hAnsiTheme="minorHAnsi"/>
          <w:sz w:val="22"/>
          <w:szCs w:val="22"/>
        </w:rPr>
        <w:t>led and failed the following interventions:</w:t>
      </w:r>
    </w:p>
    <w:p w14:paraId="1804F5DA" w14:textId="07AB6C07" w:rsidR="00845D7C" w:rsidRPr="00845D7C" w:rsidRDefault="00845D7C">
      <w:pPr>
        <w:rPr>
          <w:rFonts w:asciiTheme="minorHAnsi" w:hAnsiTheme="minorHAnsi"/>
          <w:sz w:val="22"/>
          <w:szCs w:val="22"/>
        </w:rPr>
      </w:pPr>
    </w:p>
    <w:p w14:paraId="333D77A1" w14:textId="565C0C21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Pharmacological: </w:t>
      </w:r>
      <w:r w:rsidRPr="00845D7C">
        <w:rPr>
          <w:rFonts w:asciiTheme="minorHAnsi" w:hAnsiTheme="minorHAnsi"/>
          <w:sz w:val="22"/>
          <w:szCs w:val="22"/>
          <w:highlight w:val="yellow"/>
        </w:rPr>
        <w:t>[List at least 2 medications, e.g., Sertraline and Venlafaxine]</w:t>
      </w:r>
      <w:r w:rsidRPr="00845D7C">
        <w:rPr>
          <w:rFonts w:asciiTheme="minorHAnsi" w:hAnsiTheme="minorHAnsi"/>
          <w:sz w:val="22"/>
          <w:szCs w:val="22"/>
        </w:rPr>
        <w:t xml:space="preserve"> </w:t>
      </w:r>
      <w:r w:rsidRPr="00E427FC">
        <w:rPr>
          <w:rFonts w:asciiTheme="minorHAnsi" w:hAnsiTheme="minorHAnsi"/>
          <w:sz w:val="22"/>
          <w:szCs w:val="22"/>
          <w:highlight w:val="yellow"/>
        </w:rPr>
        <w:t>at maximum tolerated doses without significant symptom remission.</w:t>
      </w:r>
      <w:r w:rsidR="00845D7C">
        <w:rPr>
          <w:rFonts w:asciiTheme="minorHAnsi" w:hAnsiTheme="minorHAnsi"/>
          <w:sz w:val="22"/>
          <w:szCs w:val="22"/>
        </w:rPr>
        <w:br/>
      </w:r>
    </w:p>
    <w:p w14:paraId="582331AC" w14:textId="244A21AF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Psychological: </w:t>
      </w:r>
      <w:r w:rsidRPr="00845D7C">
        <w:rPr>
          <w:rFonts w:asciiTheme="minorHAnsi" w:hAnsiTheme="minorHAnsi"/>
          <w:sz w:val="22"/>
          <w:szCs w:val="22"/>
          <w:highlight w:val="yellow"/>
        </w:rPr>
        <w:t>[Number]</w:t>
      </w:r>
      <w:r w:rsidRPr="00845D7C">
        <w:rPr>
          <w:rFonts w:asciiTheme="minorHAnsi" w:hAnsiTheme="minorHAnsi"/>
          <w:sz w:val="22"/>
          <w:szCs w:val="22"/>
        </w:rPr>
        <w:t xml:space="preserve"> sessions of </w:t>
      </w:r>
      <w:r w:rsidRPr="00845D7C">
        <w:rPr>
          <w:rFonts w:asciiTheme="minorHAnsi" w:hAnsiTheme="minorHAnsi"/>
          <w:sz w:val="22"/>
          <w:szCs w:val="22"/>
          <w:highlight w:val="yellow"/>
        </w:rPr>
        <w:t>[e.g., CBT / EMDR] with [Clinician Name/Type].</w:t>
      </w:r>
      <w:r w:rsidRPr="00845D7C">
        <w:rPr>
          <w:rFonts w:asciiTheme="minorHAnsi" w:hAnsiTheme="minorHAnsi"/>
          <w:sz w:val="22"/>
          <w:szCs w:val="22"/>
        </w:rPr>
        <w:t xml:space="preserve"> While supportive, these sessions have not addressed the underlying neurological barriers to processing the trauma.</w:t>
      </w:r>
      <w:r w:rsidR="00845D7C">
        <w:rPr>
          <w:rFonts w:asciiTheme="minorHAnsi" w:hAnsiTheme="minorHAnsi"/>
          <w:sz w:val="22"/>
          <w:szCs w:val="22"/>
        </w:rPr>
        <w:br/>
      </w:r>
    </w:p>
    <w:p w14:paraId="59358779" w14:textId="1C136B4C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  <w:highlight w:val="yellow"/>
        </w:rPr>
        <w:t>[Patient Name]</w:t>
      </w:r>
      <w:r w:rsidRPr="00845D7C">
        <w:rPr>
          <w:rFonts w:asciiTheme="minorHAnsi" w:hAnsiTheme="minorHAnsi"/>
          <w:sz w:val="22"/>
          <w:szCs w:val="22"/>
        </w:rPr>
        <w:t xml:space="preserve"> has engaged consistently and in good faith with each of these treatments over </w:t>
      </w:r>
      <w:r w:rsidR="00845D7C">
        <w:rPr>
          <w:rFonts w:asciiTheme="minorHAnsi" w:hAnsiTheme="minorHAnsi"/>
          <w:sz w:val="22"/>
          <w:szCs w:val="22"/>
        </w:rPr>
        <w:br/>
      </w:r>
      <w:r w:rsidRPr="00845D7C">
        <w:rPr>
          <w:rFonts w:asciiTheme="minorHAnsi" w:hAnsiTheme="minorHAnsi"/>
          <w:sz w:val="22"/>
          <w:szCs w:val="22"/>
          <w:highlight w:val="yellow"/>
        </w:rPr>
        <w:t>[duration],</w:t>
      </w:r>
      <w:r w:rsidRPr="00845D7C">
        <w:rPr>
          <w:rFonts w:asciiTheme="minorHAnsi" w:hAnsiTheme="minorHAnsi"/>
          <w:sz w:val="22"/>
          <w:szCs w:val="22"/>
        </w:rPr>
        <w:t xml:space="preserve"> and their current presentation reflects a genuine plateau in recovery rather than a lack of effort or engagement on their part.</w:t>
      </w:r>
      <w:r w:rsidR="00845D7C">
        <w:rPr>
          <w:rFonts w:asciiTheme="minorHAnsi" w:hAnsiTheme="minorHAnsi"/>
          <w:sz w:val="22"/>
          <w:szCs w:val="22"/>
        </w:rPr>
        <w:br/>
      </w:r>
    </w:p>
    <w:p w14:paraId="759B0DB0" w14:textId="77777777" w:rsidR="00304525" w:rsidRPr="00B23858" w:rsidRDefault="00944DCC">
      <w:pPr>
        <w:pStyle w:val="Heading3"/>
        <w:rPr>
          <w:rFonts w:asciiTheme="minorHAnsi" w:hAnsiTheme="minorHAnsi"/>
          <w:b/>
          <w:bCs/>
          <w:sz w:val="22"/>
          <w:szCs w:val="22"/>
        </w:rPr>
      </w:pPr>
      <w:r w:rsidRPr="00B23858">
        <w:rPr>
          <w:rFonts w:asciiTheme="minorHAnsi" w:hAnsiTheme="minorHAnsi"/>
          <w:b/>
          <w:bCs/>
          <w:sz w:val="22"/>
          <w:szCs w:val="22"/>
        </w:rPr>
        <w:t xml:space="preserve">4. Why </w:t>
      </w:r>
      <w:proofErr w:type="spellStart"/>
      <w:r w:rsidRPr="00B23858">
        <w:rPr>
          <w:rFonts w:asciiTheme="minorHAnsi" w:hAnsiTheme="minorHAnsi"/>
          <w:b/>
          <w:bCs/>
          <w:sz w:val="22"/>
          <w:szCs w:val="22"/>
        </w:rPr>
        <w:t>Empax</w:t>
      </w:r>
      <w:proofErr w:type="spellEnd"/>
      <w:r w:rsidRPr="00B23858">
        <w:rPr>
          <w:rFonts w:asciiTheme="minorHAnsi" w:hAnsiTheme="minorHAnsi"/>
          <w:b/>
          <w:bCs/>
          <w:sz w:val="22"/>
          <w:szCs w:val="22"/>
        </w:rPr>
        <w:t xml:space="preserve"> Centre Is an Appropriate Next Step</w:t>
      </w:r>
    </w:p>
    <w:p w14:paraId="6E727E9C" w14:textId="1B517693" w:rsidR="00EC0FBF" w:rsidRPr="00845D7C" w:rsidRDefault="00EC0FBF">
      <w:pPr>
        <w:pStyle w:val="Heading3"/>
        <w:rPr>
          <w:rFonts w:asciiTheme="minorHAnsi" w:hAnsiTheme="minorHAnsi"/>
          <w:sz w:val="22"/>
          <w:szCs w:val="22"/>
        </w:rPr>
      </w:pPr>
    </w:p>
    <w:p w14:paraId="586905E2" w14:textId="7B8DAA56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Given the treatment resistance documented above, I am referring </w:t>
      </w:r>
      <w:r w:rsidRPr="00EC0FBF">
        <w:rPr>
          <w:rFonts w:asciiTheme="minorHAnsi" w:hAnsiTheme="minorHAnsi"/>
          <w:sz w:val="22"/>
          <w:szCs w:val="22"/>
          <w:highlight w:val="yellow"/>
        </w:rPr>
        <w:t>[Patient Name]</w:t>
      </w:r>
      <w:r w:rsidRPr="00845D7C">
        <w:rPr>
          <w:rFonts w:asciiTheme="minorHAnsi" w:hAnsiTheme="minorHAnsi"/>
          <w:sz w:val="22"/>
          <w:szCs w:val="22"/>
        </w:rPr>
        <w:t xml:space="preserve"> for assessment of suitability for psychedelic-assisted therapy at </w:t>
      </w:r>
      <w:proofErr w:type="spellStart"/>
      <w:r w:rsidRPr="00845D7C">
        <w:rPr>
          <w:rFonts w:asciiTheme="minorHAnsi" w:hAnsiTheme="minorHAnsi"/>
          <w:sz w:val="22"/>
          <w:szCs w:val="22"/>
        </w:rPr>
        <w:t>Empax</w:t>
      </w:r>
      <w:proofErr w:type="spellEnd"/>
      <w:r w:rsidRPr="00845D7C">
        <w:rPr>
          <w:rFonts w:asciiTheme="minorHAnsi" w:hAnsiTheme="minorHAnsi"/>
          <w:sz w:val="22"/>
          <w:szCs w:val="22"/>
        </w:rPr>
        <w:t xml:space="preserve"> Centre </w:t>
      </w:r>
      <w:r w:rsidR="00EC0FBF">
        <w:rPr>
          <w:rFonts w:asciiTheme="minorHAnsi" w:hAnsiTheme="minorHAnsi"/>
          <w:sz w:val="22"/>
          <w:szCs w:val="22"/>
        </w:rPr>
        <w:t>-</w:t>
      </w:r>
      <w:r w:rsidRPr="00845D7C">
        <w:rPr>
          <w:rFonts w:asciiTheme="minorHAnsi" w:hAnsiTheme="minorHAnsi"/>
          <w:sz w:val="22"/>
          <w:szCs w:val="22"/>
        </w:rPr>
        <w:t xml:space="preserve"> a tertiary-level, specialist-led clinical framework delivered under the TGA Authorised Prescriber scheme. In brief, this intervention uses a therapeutic agent (MDMA or Psilocybin) as a catalyst for structured, trauma-focused psychotherapy, delivered over a defined, time-limited course rather than open-ended treatment. Further clinical and regulatory detail is provided in the attached Evidence Pack.</w:t>
      </w:r>
      <w:r w:rsidR="00EC0FBF">
        <w:rPr>
          <w:rFonts w:asciiTheme="minorHAnsi" w:hAnsiTheme="minorHAnsi"/>
          <w:sz w:val="22"/>
          <w:szCs w:val="22"/>
        </w:rPr>
        <w:br/>
      </w:r>
    </w:p>
    <w:p w14:paraId="50138D23" w14:textId="04CC9929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In </w:t>
      </w:r>
      <w:r w:rsidRPr="00EC0FBF">
        <w:rPr>
          <w:rFonts w:asciiTheme="minorHAnsi" w:hAnsiTheme="minorHAnsi"/>
          <w:sz w:val="22"/>
          <w:szCs w:val="22"/>
          <w:highlight w:val="yellow"/>
        </w:rPr>
        <w:t>[Patient Name]</w:t>
      </w:r>
      <w:r w:rsidRPr="00845D7C">
        <w:rPr>
          <w:rFonts w:asciiTheme="minorHAnsi" w:hAnsiTheme="minorHAnsi"/>
          <w:sz w:val="22"/>
          <w:szCs w:val="22"/>
        </w:rPr>
        <w:t xml:space="preserve">’s case specifically, the clinical rationale is to address the hyper-vigilance and/or emotional numbness that has, to date, prevented them from processing their trauma through standard talk-based therapy — the same barrier that has limited their progress with </w:t>
      </w:r>
      <w:r w:rsidRPr="00EC0FBF">
        <w:rPr>
          <w:rFonts w:asciiTheme="minorHAnsi" w:hAnsiTheme="minorHAnsi"/>
          <w:sz w:val="22"/>
          <w:szCs w:val="22"/>
          <w:highlight w:val="yellow"/>
        </w:rPr>
        <w:t>[reference back to Section 3 treatments, e.g., “CBT and EMDR”].</w:t>
      </w:r>
      <w:r w:rsidR="00EC0FBF">
        <w:rPr>
          <w:rFonts w:asciiTheme="minorHAnsi" w:hAnsiTheme="minorHAnsi"/>
          <w:sz w:val="22"/>
          <w:szCs w:val="22"/>
        </w:rPr>
        <w:br/>
      </w:r>
    </w:p>
    <w:p w14:paraId="191A4FFC" w14:textId="381C6D5F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EC0FBF">
        <w:rPr>
          <w:rFonts w:asciiTheme="minorHAnsi" w:hAnsiTheme="minorHAnsi"/>
          <w:sz w:val="22"/>
          <w:szCs w:val="22"/>
          <w:highlight w:val="yellow"/>
        </w:rPr>
        <w:t>[Patient Name]</w:t>
      </w:r>
      <w:r w:rsidRPr="00845D7C">
        <w:rPr>
          <w:rFonts w:asciiTheme="minorHAnsi" w:hAnsiTheme="minorHAnsi"/>
          <w:sz w:val="22"/>
          <w:szCs w:val="22"/>
        </w:rPr>
        <w:t xml:space="preserve"> has been fully informed of the treatment process, including the clinical framework, potential risks, and expected time commitment, and has expressed a clear and informed willingness to engage.</w:t>
      </w:r>
      <w:r w:rsidR="00EC0FBF">
        <w:rPr>
          <w:rFonts w:asciiTheme="minorHAnsi" w:hAnsiTheme="minorHAnsi"/>
          <w:sz w:val="22"/>
          <w:szCs w:val="22"/>
        </w:rPr>
        <w:br/>
      </w:r>
    </w:p>
    <w:p w14:paraId="217B28FA" w14:textId="359CA72F" w:rsidR="00304525" w:rsidRPr="00B23858" w:rsidRDefault="00944DCC">
      <w:pPr>
        <w:pStyle w:val="Heading3"/>
        <w:rPr>
          <w:rFonts w:asciiTheme="minorHAnsi" w:hAnsiTheme="minorHAnsi"/>
          <w:b/>
          <w:bCs/>
          <w:sz w:val="22"/>
          <w:szCs w:val="22"/>
        </w:rPr>
      </w:pPr>
      <w:r w:rsidRPr="00B23858">
        <w:rPr>
          <w:rFonts w:asciiTheme="minorHAnsi" w:hAnsiTheme="minorHAnsi"/>
          <w:b/>
          <w:bCs/>
          <w:sz w:val="22"/>
          <w:szCs w:val="22"/>
        </w:rPr>
        <w:t xml:space="preserve">5. What Success Looks Like for </w:t>
      </w:r>
      <w:r w:rsidRPr="00B23858">
        <w:rPr>
          <w:rFonts w:asciiTheme="minorHAnsi" w:hAnsiTheme="minorHAnsi"/>
          <w:b/>
          <w:bCs/>
          <w:sz w:val="22"/>
          <w:szCs w:val="22"/>
          <w:highlight w:val="yellow"/>
        </w:rPr>
        <w:t>[Patient Name]</w:t>
      </w:r>
      <w:r w:rsidR="00EC0FBF" w:rsidRPr="00B23858">
        <w:rPr>
          <w:rFonts w:asciiTheme="minorHAnsi" w:hAnsiTheme="minorHAnsi"/>
          <w:b/>
          <w:bCs/>
          <w:sz w:val="22"/>
          <w:szCs w:val="22"/>
        </w:rPr>
        <w:br/>
      </w:r>
    </w:p>
    <w:p w14:paraId="0CDFBBAA" w14:textId="22EAD242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The clinical objective of this referral is to restore </w:t>
      </w:r>
      <w:r w:rsidRPr="00EC0FBF">
        <w:rPr>
          <w:rFonts w:asciiTheme="minorHAnsi" w:hAnsiTheme="minorHAnsi"/>
          <w:sz w:val="22"/>
          <w:szCs w:val="22"/>
          <w:highlight w:val="yellow"/>
        </w:rPr>
        <w:t>[Patient Name]’s</w:t>
      </w:r>
      <w:r w:rsidRPr="00845D7C">
        <w:rPr>
          <w:rFonts w:asciiTheme="minorHAnsi" w:hAnsiTheme="minorHAnsi"/>
          <w:sz w:val="22"/>
          <w:szCs w:val="22"/>
        </w:rPr>
        <w:t xml:space="preserve"> capacity to tolerate emotional distress without dissociation or hyperarousal (their “window of tolerance”). </w:t>
      </w:r>
      <w:r w:rsidR="00EC0FBF">
        <w:rPr>
          <w:rFonts w:asciiTheme="minorHAnsi" w:hAnsiTheme="minorHAnsi"/>
          <w:sz w:val="22"/>
          <w:szCs w:val="22"/>
        </w:rPr>
        <w:br/>
      </w:r>
      <w:r w:rsidR="00EC0FBF">
        <w:rPr>
          <w:rFonts w:asciiTheme="minorHAnsi" w:hAnsiTheme="minorHAnsi"/>
          <w:sz w:val="22"/>
          <w:szCs w:val="22"/>
        </w:rPr>
        <w:br/>
      </w:r>
      <w:r w:rsidRPr="00845D7C">
        <w:rPr>
          <w:rFonts w:asciiTheme="minorHAnsi" w:hAnsiTheme="minorHAnsi"/>
          <w:sz w:val="22"/>
          <w:szCs w:val="22"/>
        </w:rPr>
        <w:t xml:space="preserve">Concretely, for </w:t>
      </w:r>
      <w:r w:rsidRPr="00EC0FBF">
        <w:rPr>
          <w:rFonts w:asciiTheme="minorHAnsi" w:hAnsiTheme="minorHAnsi"/>
          <w:sz w:val="22"/>
          <w:szCs w:val="22"/>
          <w:highlight w:val="yellow"/>
        </w:rPr>
        <w:t>[Patient Name],</w:t>
      </w:r>
      <w:r w:rsidRPr="00845D7C">
        <w:rPr>
          <w:rFonts w:asciiTheme="minorHAnsi" w:hAnsiTheme="minorHAnsi"/>
          <w:sz w:val="22"/>
          <w:szCs w:val="22"/>
        </w:rPr>
        <w:t xml:space="preserve"> this is expected to support:</w:t>
      </w:r>
      <w:r w:rsidR="00EC0FBF">
        <w:rPr>
          <w:rFonts w:asciiTheme="minorHAnsi" w:hAnsiTheme="minorHAnsi"/>
          <w:sz w:val="22"/>
          <w:szCs w:val="22"/>
        </w:rPr>
        <w:br/>
      </w:r>
    </w:p>
    <w:p w14:paraId="7E2F2F1D" w14:textId="77777777" w:rsidR="00304525" w:rsidRPr="00EC0FBF" w:rsidRDefault="00944DCC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  <w:highlight w:val="yellow"/>
        </w:rPr>
      </w:pPr>
      <w:r w:rsidRPr="00EC0FBF">
        <w:rPr>
          <w:rFonts w:asciiTheme="minorHAnsi" w:hAnsiTheme="minorHAnsi"/>
          <w:sz w:val="22"/>
          <w:szCs w:val="22"/>
          <w:highlight w:val="yellow"/>
        </w:rPr>
        <w:t>[Specific, patient-relevant goal, e.g., “A return to modified or full duties in their previous occupation as a [role]”]</w:t>
      </w:r>
    </w:p>
    <w:p w14:paraId="732F5AE0" w14:textId="77777777" w:rsidR="00304525" w:rsidRPr="00EC0FBF" w:rsidRDefault="00944DCC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  <w:highlight w:val="yellow"/>
        </w:rPr>
      </w:pPr>
      <w:r w:rsidRPr="00EC0FBF">
        <w:rPr>
          <w:rFonts w:asciiTheme="minorHAnsi" w:hAnsiTheme="minorHAnsi"/>
          <w:sz w:val="22"/>
          <w:szCs w:val="22"/>
          <w:highlight w:val="yellow"/>
        </w:rPr>
        <w:t>[Specific, patient-relevant goal, e.g., “Resuming an active parenting role, including school pick-ups and family activities”]</w:t>
      </w:r>
    </w:p>
    <w:p w14:paraId="7ABE4094" w14:textId="77777777" w:rsidR="00304525" w:rsidRPr="00845D7C" w:rsidRDefault="00944DCC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>Reduced long-term reliance on psychotropic medication and open-ended psychological support.</w:t>
      </w:r>
    </w:p>
    <w:p w14:paraId="6FC05BAF" w14:textId="2590F9F5" w:rsidR="00304525" w:rsidRPr="00845D7C" w:rsidRDefault="00944DCC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>Active, sustainable re-engagement with vocational rehabilitation and a realistic Return to Work pathway.</w:t>
      </w:r>
      <w:r w:rsidR="00EC0FBF">
        <w:rPr>
          <w:rFonts w:asciiTheme="minorHAnsi" w:hAnsiTheme="minorHAnsi"/>
          <w:sz w:val="22"/>
          <w:szCs w:val="22"/>
        </w:rPr>
        <w:br/>
      </w:r>
    </w:p>
    <w:p w14:paraId="418A3465" w14:textId="45D1E686" w:rsidR="00304525" w:rsidRPr="002C5ADA" w:rsidRDefault="00944DCC">
      <w:pPr>
        <w:pStyle w:val="Heading3"/>
        <w:rPr>
          <w:rFonts w:asciiTheme="minorHAnsi" w:hAnsiTheme="minorHAnsi"/>
          <w:b/>
          <w:bCs/>
          <w:sz w:val="22"/>
          <w:szCs w:val="22"/>
        </w:rPr>
      </w:pPr>
      <w:r w:rsidRPr="002C5ADA">
        <w:rPr>
          <w:rFonts w:asciiTheme="minorHAnsi" w:hAnsiTheme="minorHAnsi"/>
          <w:b/>
          <w:bCs/>
          <w:sz w:val="22"/>
          <w:szCs w:val="22"/>
        </w:rPr>
        <w:t>6. Governance, Safety and Funding Approval</w:t>
      </w:r>
      <w:r w:rsidR="00EC0FBF" w:rsidRPr="002C5ADA">
        <w:rPr>
          <w:rFonts w:asciiTheme="minorHAnsi" w:hAnsiTheme="minorHAnsi"/>
          <w:b/>
          <w:bCs/>
          <w:sz w:val="22"/>
          <w:szCs w:val="22"/>
        </w:rPr>
        <w:br/>
      </w:r>
    </w:p>
    <w:p w14:paraId="6E08EF37" w14:textId="20857733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This treatment is delivered under the TGA Authorised Prescriber scheme and is overseen by a Human Research Ethics Committee (HREC). The patient will be under the direct supervision of a </w:t>
      </w:r>
      <w:proofErr w:type="gramStart"/>
      <w:r w:rsidRPr="00845D7C">
        <w:rPr>
          <w:rFonts w:asciiTheme="minorHAnsi" w:hAnsiTheme="minorHAnsi"/>
          <w:sz w:val="22"/>
          <w:szCs w:val="22"/>
        </w:rPr>
        <w:t>Psychiatrist</w:t>
      </w:r>
      <w:proofErr w:type="gramEnd"/>
      <w:r w:rsidRPr="00845D7C">
        <w:rPr>
          <w:rFonts w:asciiTheme="minorHAnsi" w:hAnsiTheme="minorHAnsi"/>
          <w:sz w:val="22"/>
          <w:szCs w:val="22"/>
        </w:rPr>
        <w:t xml:space="preserve"> and two trained mental health professionals throughout the process.</w:t>
      </w:r>
      <w:r w:rsidR="00EC0FBF">
        <w:rPr>
          <w:rFonts w:asciiTheme="minorHAnsi" w:hAnsiTheme="minorHAnsi"/>
          <w:sz w:val="22"/>
          <w:szCs w:val="22"/>
        </w:rPr>
        <w:br/>
      </w:r>
    </w:p>
    <w:p w14:paraId="67CDF9BA" w14:textId="77777777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>Detailed information on these governance standards is included in the attached Evidence Pack.</w:t>
      </w:r>
    </w:p>
    <w:p w14:paraId="63F2525F" w14:textId="77777777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 xml:space="preserve">I request that the insurer approve the funding for the full care pathway as a matter of clinical necessity for </w:t>
      </w:r>
      <w:r w:rsidRPr="00EC0FBF">
        <w:rPr>
          <w:rFonts w:asciiTheme="minorHAnsi" w:hAnsiTheme="minorHAnsi"/>
          <w:sz w:val="22"/>
          <w:szCs w:val="22"/>
          <w:highlight w:val="yellow"/>
        </w:rPr>
        <w:t>[Patient Name].</w:t>
      </w:r>
      <w:r w:rsidRPr="00845D7C">
        <w:rPr>
          <w:rFonts w:asciiTheme="minorHAnsi" w:hAnsiTheme="minorHAnsi"/>
          <w:sz w:val="22"/>
          <w:szCs w:val="22"/>
        </w:rPr>
        <w:t xml:space="preserve"> This includes the two-part clinical screening process and, if suitable, the subsequent 90-Hour Intensive Program. An upfront approval for both phases is requested to ensure a seamless transition from assessment to treatment upon confirmation of clinical suitability, which is critical for maintaining </w:t>
      </w:r>
      <w:r w:rsidRPr="002C5ADA">
        <w:rPr>
          <w:rFonts w:asciiTheme="minorHAnsi" w:hAnsiTheme="minorHAnsi"/>
          <w:sz w:val="22"/>
          <w:szCs w:val="22"/>
          <w:highlight w:val="yellow"/>
        </w:rPr>
        <w:t>[Patient Name]</w:t>
      </w:r>
      <w:r w:rsidRPr="00845D7C">
        <w:rPr>
          <w:rFonts w:asciiTheme="minorHAnsi" w:hAnsiTheme="minorHAnsi"/>
          <w:sz w:val="22"/>
          <w:szCs w:val="22"/>
        </w:rPr>
        <w:t>’s therapeutic momentum.</w:t>
      </w:r>
    </w:p>
    <w:p w14:paraId="624F05BD" w14:textId="77777777" w:rsidR="00304525" w:rsidRPr="00845D7C" w:rsidRDefault="00304525">
      <w:pPr>
        <w:rPr>
          <w:rFonts w:asciiTheme="minorHAnsi" w:hAnsiTheme="minorHAnsi"/>
          <w:sz w:val="22"/>
          <w:szCs w:val="22"/>
        </w:rPr>
      </w:pPr>
    </w:p>
    <w:p w14:paraId="0C9C0DD6" w14:textId="5467B9AB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>Yours sincerely,</w:t>
      </w:r>
      <w:r w:rsidR="00EC0FBF">
        <w:rPr>
          <w:rFonts w:asciiTheme="minorHAnsi" w:hAnsiTheme="minorHAnsi"/>
          <w:sz w:val="22"/>
          <w:szCs w:val="22"/>
        </w:rPr>
        <w:br/>
      </w:r>
      <w:r w:rsidR="00EC0FBF">
        <w:rPr>
          <w:rFonts w:asciiTheme="minorHAnsi" w:hAnsiTheme="minorHAnsi"/>
          <w:sz w:val="22"/>
          <w:szCs w:val="22"/>
        </w:rPr>
        <w:br/>
      </w:r>
      <w:r w:rsidR="00EC0FBF">
        <w:rPr>
          <w:rFonts w:asciiTheme="minorHAnsi" w:hAnsiTheme="minorHAnsi"/>
          <w:sz w:val="22"/>
          <w:szCs w:val="22"/>
        </w:rPr>
        <w:br/>
      </w:r>
      <w:r w:rsidR="00EC0FBF">
        <w:rPr>
          <w:rFonts w:asciiTheme="minorHAnsi" w:hAnsiTheme="minorHAnsi"/>
          <w:sz w:val="22"/>
          <w:szCs w:val="22"/>
        </w:rPr>
        <w:br/>
      </w:r>
    </w:p>
    <w:p w14:paraId="59CB8CFA" w14:textId="77777777" w:rsidR="00304525" w:rsidRPr="00845D7C" w:rsidRDefault="00304525">
      <w:pPr>
        <w:rPr>
          <w:rFonts w:asciiTheme="minorHAnsi" w:hAnsiTheme="minorHAnsi"/>
          <w:sz w:val="22"/>
          <w:szCs w:val="22"/>
        </w:rPr>
      </w:pPr>
    </w:p>
    <w:p w14:paraId="70EC4289" w14:textId="0B4FECF4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EC0FBF">
        <w:rPr>
          <w:rFonts w:asciiTheme="minorHAnsi" w:hAnsiTheme="minorHAnsi"/>
          <w:sz w:val="22"/>
          <w:szCs w:val="22"/>
          <w:highlight w:val="yellow"/>
        </w:rPr>
        <w:t>[</w:t>
      </w:r>
      <w:r w:rsidR="00EC0FBF" w:rsidRPr="00EC0FBF">
        <w:rPr>
          <w:rFonts w:asciiTheme="minorHAnsi" w:hAnsiTheme="minorHAnsi"/>
          <w:sz w:val="22"/>
          <w:szCs w:val="22"/>
          <w:highlight w:val="yellow"/>
        </w:rPr>
        <w:t>Doctor</w:t>
      </w:r>
      <w:r w:rsidRPr="00EC0FBF">
        <w:rPr>
          <w:rFonts w:asciiTheme="minorHAnsi" w:hAnsiTheme="minorHAnsi"/>
          <w:sz w:val="22"/>
          <w:szCs w:val="22"/>
          <w:highlight w:val="yellow"/>
        </w:rPr>
        <w:t xml:space="preserve"> Name] </w:t>
      </w:r>
      <w:r w:rsidR="00EC0FBF" w:rsidRPr="00EC0FBF">
        <w:rPr>
          <w:rFonts w:asciiTheme="minorHAnsi" w:hAnsiTheme="minorHAnsi"/>
          <w:sz w:val="22"/>
          <w:szCs w:val="22"/>
          <w:highlight w:val="yellow"/>
        </w:rPr>
        <w:br/>
      </w:r>
      <w:r w:rsidRPr="00EC0FBF">
        <w:rPr>
          <w:rFonts w:asciiTheme="minorHAnsi" w:hAnsiTheme="minorHAnsi"/>
          <w:sz w:val="22"/>
          <w:szCs w:val="22"/>
          <w:highlight w:val="yellow"/>
        </w:rPr>
        <w:t xml:space="preserve">[Provider Number] </w:t>
      </w:r>
      <w:r w:rsidR="00EC0FBF" w:rsidRPr="00EC0FBF">
        <w:rPr>
          <w:rFonts w:asciiTheme="minorHAnsi" w:hAnsiTheme="minorHAnsi"/>
          <w:sz w:val="22"/>
          <w:szCs w:val="22"/>
          <w:highlight w:val="yellow"/>
        </w:rPr>
        <w:br/>
      </w:r>
      <w:r w:rsidRPr="00EC0FBF">
        <w:rPr>
          <w:rFonts w:asciiTheme="minorHAnsi" w:hAnsiTheme="minorHAnsi"/>
          <w:sz w:val="22"/>
          <w:szCs w:val="22"/>
          <w:highlight w:val="yellow"/>
        </w:rPr>
        <w:t>[Signature]</w:t>
      </w:r>
    </w:p>
    <w:p w14:paraId="32C17B4E" w14:textId="77777777" w:rsidR="00304525" w:rsidRPr="00845D7C" w:rsidRDefault="00304525">
      <w:pPr>
        <w:rPr>
          <w:rFonts w:asciiTheme="minorHAnsi" w:hAnsiTheme="minorHAnsi"/>
          <w:sz w:val="22"/>
          <w:szCs w:val="22"/>
        </w:rPr>
      </w:pPr>
    </w:p>
    <w:p w14:paraId="43A42ACA" w14:textId="77777777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845D7C">
        <w:rPr>
          <w:rFonts w:asciiTheme="minorHAnsi" w:hAnsiTheme="minorHAnsi"/>
          <w:sz w:val="22"/>
          <w:szCs w:val="22"/>
        </w:rPr>
        <w:t>Enclosures:</w:t>
      </w:r>
    </w:p>
    <w:p w14:paraId="0C0A5DDB" w14:textId="77777777" w:rsidR="00304525" w:rsidRDefault="00944DCC">
      <w:pPr>
        <w:rPr>
          <w:rFonts w:asciiTheme="minorHAnsi" w:hAnsiTheme="minorHAnsi"/>
          <w:sz w:val="22"/>
          <w:szCs w:val="22"/>
        </w:rPr>
      </w:pPr>
      <w:proofErr w:type="spellStart"/>
      <w:r w:rsidRPr="00845D7C">
        <w:rPr>
          <w:rFonts w:asciiTheme="minorHAnsi" w:hAnsiTheme="minorHAnsi"/>
          <w:sz w:val="22"/>
          <w:szCs w:val="22"/>
        </w:rPr>
        <w:t>Empax</w:t>
      </w:r>
      <w:proofErr w:type="spellEnd"/>
      <w:r w:rsidRPr="00845D7C">
        <w:rPr>
          <w:rFonts w:asciiTheme="minorHAnsi" w:hAnsiTheme="minorHAnsi"/>
          <w:sz w:val="22"/>
          <w:szCs w:val="22"/>
        </w:rPr>
        <w:t xml:space="preserve"> Centre’s Workers’ Compensation Evidence Pack</w:t>
      </w:r>
    </w:p>
    <w:p w14:paraId="4607EE2B" w14:textId="0965FD01" w:rsidR="00EC0FBF" w:rsidRPr="00845D7C" w:rsidRDefault="00EC0FBF">
      <w:pPr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Empax</w:t>
      </w:r>
      <w:proofErr w:type="spellEnd"/>
      <w:r>
        <w:rPr>
          <w:rFonts w:asciiTheme="minorHAnsi" w:hAnsiTheme="minorHAnsi"/>
          <w:sz w:val="22"/>
          <w:szCs w:val="22"/>
        </w:rPr>
        <w:t xml:space="preserve"> Centre’s Workers’ Compensation Handout</w:t>
      </w:r>
    </w:p>
    <w:p w14:paraId="04BF3F34" w14:textId="77777777" w:rsidR="00304525" w:rsidRPr="00845D7C" w:rsidRDefault="00944DCC">
      <w:pPr>
        <w:rPr>
          <w:rFonts w:asciiTheme="minorHAnsi" w:hAnsiTheme="minorHAnsi"/>
          <w:sz w:val="22"/>
          <w:szCs w:val="22"/>
        </w:rPr>
      </w:pPr>
      <w:r w:rsidRPr="00EC0FBF">
        <w:rPr>
          <w:rFonts w:asciiTheme="minorHAnsi" w:hAnsiTheme="minorHAnsi"/>
          <w:sz w:val="22"/>
          <w:szCs w:val="22"/>
          <w:highlight w:val="yellow"/>
        </w:rPr>
        <w:t>[Optional: Patient Medication History / Specialist Reports]</w:t>
      </w:r>
    </w:p>
    <w:sectPr w:rsidR="00304525" w:rsidRPr="00845D7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B5621"/>
    <w:multiLevelType w:val="hybridMultilevel"/>
    <w:tmpl w:val="EB220784"/>
    <w:lvl w:ilvl="0" w:tplc="BCE636E2">
      <w:start w:val="1"/>
      <w:numFmt w:val="bullet"/>
      <w:lvlText w:val="•"/>
      <w:lvlJc w:val="left"/>
      <w:pPr>
        <w:ind w:left="720" w:hanging="360"/>
      </w:pPr>
    </w:lvl>
    <w:lvl w:ilvl="1" w:tplc="0144DD6C">
      <w:numFmt w:val="decimal"/>
      <w:lvlText w:val=""/>
      <w:lvlJc w:val="left"/>
    </w:lvl>
    <w:lvl w:ilvl="2" w:tplc="0B762582">
      <w:numFmt w:val="decimal"/>
      <w:lvlText w:val=""/>
      <w:lvlJc w:val="left"/>
    </w:lvl>
    <w:lvl w:ilvl="3" w:tplc="3ADA3B22">
      <w:numFmt w:val="decimal"/>
      <w:lvlText w:val=""/>
      <w:lvlJc w:val="left"/>
    </w:lvl>
    <w:lvl w:ilvl="4" w:tplc="0810A32C">
      <w:numFmt w:val="decimal"/>
      <w:lvlText w:val=""/>
      <w:lvlJc w:val="left"/>
    </w:lvl>
    <w:lvl w:ilvl="5" w:tplc="673CC13C">
      <w:numFmt w:val="decimal"/>
      <w:lvlText w:val=""/>
      <w:lvlJc w:val="left"/>
    </w:lvl>
    <w:lvl w:ilvl="6" w:tplc="C6BE207E">
      <w:numFmt w:val="decimal"/>
      <w:lvlText w:val=""/>
      <w:lvlJc w:val="left"/>
    </w:lvl>
    <w:lvl w:ilvl="7" w:tplc="FA8ED60E">
      <w:numFmt w:val="decimal"/>
      <w:lvlText w:val=""/>
      <w:lvlJc w:val="left"/>
    </w:lvl>
    <w:lvl w:ilvl="8" w:tplc="61325748">
      <w:numFmt w:val="decimal"/>
      <w:lvlText w:val=""/>
      <w:lvlJc w:val="left"/>
    </w:lvl>
  </w:abstractNum>
  <w:abstractNum w:abstractNumId="1" w15:restartNumberingAfterBreak="0">
    <w:nsid w:val="207D0469"/>
    <w:multiLevelType w:val="hybridMultilevel"/>
    <w:tmpl w:val="D38674D4"/>
    <w:lvl w:ilvl="0" w:tplc="88B63BD4">
      <w:start w:val="1"/>
      <w:numFmt w:val="bullet"/>
      <w:lvlText w:val="●"/>
      <w:lvlJc w:val="left"/>
      <w:pPr>
        <w:ind w:left="720" w:hanging="360"/>
      </w:pPr>
    </w:lvl>
    <w:lvl w:ilvl="1" w:tplc="8DBCE81E">
      <w:start w:val="1"/>
      <w:numFmt w:val="bullet"/>
      <w:lvlText w:val="○"/>
      <w:lvlJc w:val="left"/>
      <w:pPr>
        <w:ind w:left="1440" w:hanging="360"/>
      </w:pPr>
    </w:lvl>
    <w:lvl w:ilvl="2" w:tplc="5902FFA4">
      <w:start w:val="1"/>
      <w:numFmt w:val="bullet"/>
      <w:lvlText w:val="■"/>
      <w:lvlJc w:val="left"/>
      <w:pPr>
        <w:ind w:left="2160" w:hanging="360"/>
      </w:pPr>
    </w:lvl>
    <w:lvl w:ilvl="3" w:tplc="E33ABFE6">
      <w:start w:val="1"/>
      <w:numFmt w:val="bullet"/>
      <w:lvlText w:val="●"/>
      <w:lvlJc w:val="left"/>
      <w:pPr>
        <w:ind w:left="2880" w:hanging="360"/>
      </w:pPr>
    </w:lvl>
    <w:lvl w:ilvl="4" w:tplc="4D08C42A">
      <w:start w:val="1"/>
      <w:numFmt w:val="bullet"/>
      <w:lvlText w:val="○"/>
      <w:lvlJc w:val="left"/>
      <w:pPr>
        <w:ind w:left="3600" w:hanging="360"/>
      </w:pPr>
    </w:lvl>
    <w:lvl w:ilvl="5" w:tplc="FB64C1E0">
      <w:start w:val="1"/>
      <w:numFmt w:val="bullet"/>
      <w:lvlText w:val="■"/>
      <w:lvlJc w:val="left"/>
      <w:pPr>
        <w:ind w:left="4320" w:hanging="360"/>
      </w:pPr>
    </w:lvl>
    <w:lvl w:ilvl="6" w:tplc="4DAA05A4">
      <w:start w:val="1"/>
      <w:numFmt w:val="bullet"/>
      <w:lvlText w:val="●"/>
      <w:lvlJc w:val="left"/>
      <w:pPr>
        <w:ind w:left="5040" w:hanging="360"/>
      </w:pPr>
    </w:lvl>
    <w:lvl w:ilvl="7" w:tplc="ABEAD3CA">
      <w:start w:val="1"/>
      <w:numFmt w:val="bullet"/>
      <w:lvlText w:val="●"/>
      <w:lvlJc w:val="left"/>
      <w:pPr>
        <w:ind w:left="5760" w:hanging="360"/>
      </w:pPr>
    </w:lvl>
    <w:lvl w:ilvl="8" w:tplc="63AE8280">
      <w:start w:val="1"/>
      <w:numFmt w:val="bullet"/>
      <w:lvlText w:val="●"/>
      <w:lvlJc w:val="left"/>
      <w:pPr>
        <w:ind w:left="6480" w:hanging="360"/>
      </w:pPr>
    </w:lvl>
  </w:abstractNum>
  <w:num w:numId="1" w16cid:durableId="1376152596">
    <w:abstractNumId w:val="1"/>
    <w:lvlOverride w:ilvl="0">
      <w:startOverride w:val="1"/>
    </w:lvlOverride>
  </w:num>
  <w:num w:numId="2" w16cid:durableId="16903291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525"/>
    <w:rsid w:val="00211B7B"/>
    <w:rsid w:val="002C5ADA"/>
    <w:rsid w:val="00304525"/>
    <w:rsid w:val="00347599"/>
    <w:rsid w:val="00537FC5"/>
    <w:rsid w:val="00845D7C"/>
    <w:rsid w:val="009117DC"/>
    <w:rsid w:val="00944DCC"/>
    <w:rsid w:val="009B3013"/>
    <w:rsid w:val="00B23858"/>
    <w:rsid w:val="00E427FC"/>
    <w:rsid w:val="00EC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20FFB"/>
  <w15:docId w15:val="{FBECD72E-7B24-4ED0-B060-89BC3A6C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Claire Hutchinson</cp:lastModifiedBy>
  <cp:revision>8</cp:revision>
  <dcterms:created xsi:type="dcterms:W3CDTF">2026-08-17T02:14:00Z</dcterms:created>
  <dcterms:modified xsi:type="dcterms:W3CDTF">2026-08-28T03:18:00Z</dcterms:modified>
</cp:coreProperties>
</file>